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jc w:val="center"/>
      </w:pPr>
      <w:r>
        <w:rPr>
          <w:rtl w:val="0"/>
          <w:lang w:val="en-US"/>
        </w:rPr>
        <w:t>Battlefield High School</w:t>
      </w:r>
    </w:p>
    <w:p>
      <w:pPr>
        <w:pStyle w:val="Body"/>
        <w:spacing w:after="40"/>
        <w:jc w:val="center"/>
      </w:pPr>
      <w:r>
        <w:rPr>
          <w:rFonts w:ascii="Aptos Display" w:cs="Aptos Display" w:hAnsi="Aptos Display" w:eastAsia="Aptos Display"/>
          <w:b w:val="1"/>
          <w:bCs w:val="1"/>
          <w:outline w:val="0"/>
          <w:color w:val="000000"/>
          <w:sz w:val="28"/>
          <w:szCs w:val="28"/>
          <w:u w:color="000000"/>
          <w:rtl w:val="0"/>
          <w:lang w:val="en-US"/>
          <w14:textFill>
            <w14:solidFill>
              <w14:srgbClr w14:val="000000"/>
            </w14:solidFill>
          </w14:textFill>
        </w:rPr>
        <w:t>School Advisory Council Meeting Minutes</w:t>
      </w:r>
    </w:p>
    <w:p>
      <w:pPr>
        <w:pStyle w:val="Body"/>
        <w:spacing w:after="200"/>
        <w:jc w:val="center"/>
      </w:pPr>
      <w:r>
        <w:rPr>
          <w:rFonts w:ascii="Aptos" w:cs="Aptos" w:hAnsi="Aptos" w:eastAsia="Aptos"/>
          <w:i w:val="1"/>
          <w:iCs w:val="1"/>
          <w:rtl w:val="0"/>
        </w:rPr>
        <w:t>September 15, 2026</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88"/>
        <w:gridCol w:w="7704"/>
      </w:tblGrid>
      <w:tr>
        <w:tblPrEx>
          <w:shd w:val="clear" w:color="auto" w:fill="ced7e7"/>
        </w:tblPrEx>
        <w:trPr>
          <w:trHeight w:val="275" w:hRule="atLeast"/>
        </w:trPr>
        <w:tc>
          <w:tcPr>
            <w:tcW w:type="dxa" w:w="2088"/>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eef3f8"/>
            <w:tcMar>
              <w:top w:type="dxa" w:w="80"/>
              <w:left w:type="dxa" w:w="80"/>
              <w:bottom w:type="dxa" w:w="80"/>
              <w:right w:type="dxa" w:w="80"/>
            </w:tcMar>
            <w:vAlign w:val="center"/>
          </w:tcPr>
          <w:p>
            <w:pPr>
              <w:pStyle w:val="Body"/>
            </w:pPr>
            <w:r>
              <w:rPr>
                <w:rFonts w:ascii="Aptos" w:cs="Aptos" w:hAnsi="Aptos" w:eastAsia="Aptos"/>
                <w:b w:val="1"/>
                <w:bCs w:val="1"/>
                <w:shd w:val="nil" w:color="auto" w:fill="auto"/>
                <w:rtl w:val="0"/>
                <w:lang w:val="en-US"/>
              </w:rPr>
              <w:t>Location</w:t>
            </w:r>
          </w:p>
        </w:tc>
        <w:tc>
          <w:tcPr>
            <w:tcW w:type="dxa" w:w="770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Battlefield High School Library</w:t>
            </w:r>
          </w:p>
        </w:tc>
      </w:tr>
      <w:tr>
        <w:tblPrEx>
          <w:shd w:val="clear" w:color="auto" w:fill="ced7e7"/>
        </w:tblPrEx>
        <w:trPr>
          <w:trHeight w:val="275" w:hRule="atLeast"/>
        </w:trPr>
        <w:tc>
          <w:tcPr>
            <w:tcW w:type="dxa" w:w="2088"/>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eef3f8"/>
            <w:tcMar>
              <w:top w:type="dxa" w:w="80"/>
              <w:left w:type="dxa" w:w="80"/>
              <w:bottom w:type="dxa" w:w="80"/>
              <w:right w:type="dxa" w:w="80"/>
            </w:tcMar>
            <w:vAlign w:val="center"/>
          </w:tcPr>
          <w:p>
            <w:pPr>
              <w:pStyle w:val="Body"/>
            </w:pPr>
            <w:r>
              <w:rPr>
                <w:rFonts w:ascii="Aptos" w:cs="Aptos" w:hAnsi="Aptos" w:eastAsia="Aptos"/>
                <w:b w:val="1"/>
                <w:bCs w:val="1"/>
                <w:shd w:val="nil" w:color="auto" w:fill="auto"/>
                <w:rtl w:val="0"/>
                <w:lang w:val="en-US"/>
              </w:rPr>
              <w:t>Meeting format</w:t>
            </w:r>
          </w:p>
        </w:tc>
        <w:tc>
          <w:tcPr>
            <w:tcW w:type="dxa" w:w="770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In person</w:t>
            </w:r>
          </w:p>
        </w:tc>
      </w:tr>
      <w:tr>
        <w:tblPrEx>
          <w:shd w:val="clear" w:color="auto" w:fill="ced7e7"/>
        </w:tblPrEx>
        <w:trPr>
          <w:trHeight w:val="275" w:hRule="atLeast"/>
        </w:trPr>
        <w:tc>
          <w:tcPr>
            <w:tcW w:type="dxa" w:w="2088"/>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eef3f8"/>
            <w:tcMar>
              <w:top w:type="dxa" w:w="80"/>
              <w:left w:type="dxa" w:w="80"/>
              <w:bottom w:type="dxa" w:w="80"/>
              <w:right w:type="dxa" w:w="80"/>
            </w:tcMar>
            <w:vAlign w:val="center"/>
          </w:tcPr>
          <w:p>
            <w:pPr>
              <w:pStyle w:val="Body"/>
            </w:pPr>
            <w:r>
              <w:rPr>
                <w:rFonts w:ascii="Aptos" w:cs="Aptos" w:hAnsi="Aptos" w:eastAsia="Aptos"/>
                <w:b w:val="1"/>
                <w:bCs w:val="1"/>
                <w:shd w:val="nil" w:color="auto" w:fill="auto"/>
                <w:rtl w:val="0"/>
                <w:lang w:val="en-US"/>
              </w:rPr>
              <w:t>Adjournment</w:t>
            </w:r>
          </w:p>
        </w:tc>
        <w:tc>
          <w:tcPr>
            <w:tcW w:type="dxa" w:w="770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7:42 p.m.</w:t>
            </w:r>
          </w:p>
        </w:tc>
      </w:tr>
    </w:tbl>
    <w:p>
      <w:pPr>
        <w:pStyle w:val="Body"/>
        <w:widowControl w:val="0"/>
        <w:spacing w:after="200" w:line="240" w:lineRule="auto"/>
        <w:jc w:val="center"/>
      </w:pPr>
    </w:p>
    <w:p>
      <w:pPr>
        <w:pStyle w:val="Heading"/>
      </w:pPr>
      <w:r>
        <w:rPr>
          <w:rtl w:val="0"/>
          <w:lang w:val="en-US"/>
        </w:rPr>
        <w:t>Council Leadership and Attendance</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032"/>
        <w:gridCol w:w="5760"/>
      </w:tblGrid>
      <w:tr>
        <w:tblPrEx>
          <w:shd w:val="clear" w:color="auto" w:fill="4f81bd"/>
        </w:tblPrEx>
        <w:trPr>
          <w:trHeight w:val="275" w:hRule="atLeast"/>
          <w:tblHeader/>
        </w:trPr>
        <w:tc>
          <w:tcPr>
            <w:tcW w:type="dxa" w:w="40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Member</w:t>
            </w:r>
          </w:p>
        </w:tc>
        <w:tc>
          <w:tcPr>
            <w:tcW w:type="dxa" w:w="57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Role</w:t>
            </w:r>
          </w:p>
        </w:tc>
      </w:tr>
      <w:tr>
        <w:tblPrEx>
          <w:shd w:val="clear" w:color="auto" w:fill="ced7e7"/>
        </w:tblPrEx>
        <w:trPr>
          <w:trHeight w:val="275" w:hRule="atLeast"/>
        </w:trPr>
        <w:tc>
          <w:tcPr>
            <w:tcW w:type="dxa" w:w="40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Ms. DeLores Lucas</w:t>
            </w:r>
          </w:p>
        </w:tc>
        <w:tc>
          <w:tcPr>
            <w:tcW w:type="dxa" w:w="57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Principal</w:t>
            </w:r>
          </w:p>
        </w:tc>
      </w:tr>
      <w:tr>
        <w:tblPrEx>
          <w:shd w:val="clear" w:color="auto" w:fill="ced7e7"/>
        </w:tblPrEx>
        <w:trPr>
          <w:trHeight w:val="275" w:hRule="atLeast"/>
        </w:trPr>
        <w:tc>
          <w:tcPr>
            <w:tcW w:type="dxa" w:w="40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Ms. Yubo Zhang</w:t>
            </w:r>
          </w:p>
        </w:tc>
        <w:tc>
          <w:tcPr>
            <w:tcW w:type="dxa" w:w="57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SAC Chairperson</w:t>
            </w:r>
          </w:p>
        </w:tc>
      </w:tr>
      <w:tr>
        <w:tblPrEx>
          <w:shd w:val="clear" w:color="auto" w:fill="ced7e7"/>
        </w:tblPrEx>
        <w:trPr>
          <w:trHeight w:val="275" w:hRule="atLeast"/>
        </w:trPr>
        <w:tc>
          <w:tcPr>
            <w:tcW w:type="dxa" w:w="40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Ms. Michele Ramirez</w:t>
            </w:r>
          </w:p>
        </w:tc>
        <w:tc>
          <w:tcPr>
            <w:tcW w:type="dxa" w:w="57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SAC Vice-Chairperson</w:t>
            </w:r>
          </w:p>
        </w:tc>
      </w:tr>
      <w:tr>
        <w:tblPrEx>
          <w:shd w:val="clear" w:color="auto" w:fill="ced7e7"/>
        </w:tblPrEx>
        <w:trPr>
          <w:trHeight w:val="275" w:hRule="atLeast"/>
        </w:trPr>
        <w:tc>
          <w:tcPr>
            <w:tcW w:type="dxa" w:w="40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Ms. Amy Rowland</w:t>
            </w:r>
          </w:p>
        </w:tc>
        <w:tc>
          <w:tcPr>
            <w:tcW w:type="dxa" w:w="57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SAC Secretary</w:t>
            </w:r>
          </w:p>
        </w:tc>
      </w:tr>
    </w:tbl>
    <w:p>
      <w:pPr>
        <w:pStyle w:val="Heading"/>
        <w:widowControl w:val="0"/>
        <w:spacing w:line="240" w:lineRule="auto"/>
        <w:jc w:val="center"/>
      </w:pPr>
    </w:p>
    <w:p>
      <w:pPr>
        <w:pStyle w:val="Body"/>
      </w:pPr>
      <w:r>
        <w:rPr>
          <w:rFonts w:ascii="Aptos" w:cs="Aptos" w:hAnsi="Aptos" w:eastAsia="Aptos"/>
          <w:b w:val="1"/>
          <w:bCs w:val="1"/>
          <w:rtl w:val="0"/>
          <w:lang w:val="en-US"/>
        </w:rPr>
        <w:t xml:space="preserve">Participants represented </w:t>
      </w:r>
      <w:r>
        <w:rPr>
          <w:rtl w:val="0"/>
          <w:lang w:val="en-US"/>
        </w:rPr>
        <w:t>student leadership, parents, staff, and council leadership.</w:t>
      </w:r>
    </w:p>
    <w:p>
      <w:pPr>
        <w:pStyle w:val="Heading"/>
      </w:pPr>
      <w:r>
        <w:rPr>
          <w:rtl w:val="0"/>
          <w:lang w:val="en-US"/>
        </w:rPr>
        <w:t>1 Welcome and Purpose</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Participants introduced themselves, including student leaders, parents, staff members, and council leaders.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The council reviewed the purpose of the SAC and discussed its role in identifying improvements that will help Battlefield High School continue to succeed.</w:t>
      </w:r>
    </w:p>
    <w:p>
      <w:pPr>
        <w:pStyle w:val="Heading"/>
      </w:pPr>
      <w:r>
        <w:rPr>
          <w:rtl w:val="0"/>
          <w:lang w:val="en-US"/>
        </w:rPr>
        <w:t>2 Superintendent's Advisory Council on Instruction</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Parent representatives meet monthly with Central Office. The most recent SACI discussion focused on calendar feedback.</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Ms. Yubo Zhang</w:t>
      </w:r>
      <w:r>
        <w:rPr>
          <w:rtl w:val="0"/>
          <w:lang w:val="en-US"/>
        </w:rPr>
        <w:t xml:space="preserve">, our </w:t>
      </w:r>
      <w:r>
        <w:rPr>
          <w:rtl w:val="0"/>
          <w:lang w:val="en-US"/>
        </w:rPr>
        <w:t>SAC Chairperson</w:t>
      </w:r>
      <w:r>
        <w:rPr>
          <w:rtl w:val="0"/>
          <w:lang w:val="en-US"/>
        </w:rPr>
        <w:t>,</w:t>
      </w:r>
      <w:r>
        <w:rPr>
          <w:rtl w:val="0"/>
          <w:lang w:val="en-US"/>
        </w:rPr>
        <w:t xml:space="preserve"> serves as Battlefield's representative and will report notes and feedback from SACI meetings to the council.</w:t>
      </w:r>
    </w:p>
    <w:p>
      <w:pPr>
        <w:pStyle w:val="Heading"/>
      </w:pPr>
      <w:r>
        <w:rPr>
          <w:rtl w:val="0"/>
        </w:rPr>
        <w:t>3 Old Business</w:t>
      </w:r>
    </w:p>
    <w:p>
      <w:pPr>
        <w:pStyle w:val="Body"/>
      </w:pPr>
      <w:r>
        <w:rPr>
          <w:rtl w:val="0"/>
          <w:lang w:val="en-US"/>
        </w:rPr>
        <w:t>No specific old business was documented.</w:t>
      </w:r>
    </w:p>
    <w:p>
      <w:pPr>
        <w:pStyle w:val="Heading"/>
      </w:pPr>
      <w:r>
        <w:rPr>
          <w:rtl w:val="0"/>
          <w:lang w:val="en-US"/>
        </w:rPr>
        <w:t>4 Principal's Report</w:t>
      </w:r>
    </w:p>
    <w:p>
      <w:pPr>
        <w:pStyle w:val="Heading 2"/>
      </w:pPr>
      <w:r>
        <w:rPr>
          <w:rtl w:val="0"/>
          <w:lang w:val="en-US"/>
        </w:rPr>
        <w:t>Budget for School Year 2026</w:t>
      </w:r>
      <w:r>
        <w:rPr>
          <w:rtl w:val="0"/>
        </w:rPr>
        <w:t>–</w:t>
      </w:r>
      <w:r>
        <w:rPr>
          <w:rtl w:val="0"/>
        </w:rPr>
        <w:t>27</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Because enrollment increased beyond the original projection, the school expects an increase in funding. A revised budget based on enrollment as of September 30 will be discussed in November.</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Battlefield has approximately 120 more students than originally projected. The approved budget was approximately $21 million, with nearly $20 million allocated to staff salaries.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Remaining funds support athletics and coaching, approved clubs, sports and activities, paper, substitutes, incidentals, repairs, and equipment replacement.</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The largest equipment purchase this year is an industrial washer and dryer for athletic uniforms, estimated at $22,000</w:t>
      </w:r>
      <w:r>
        <w:rPr>
          <w:rtl w:val="0"/>
        </w:rPr>
        <w:t>–</w:t>
      </w:r>
      <w:r>
        <w:rPr>
          <w:rtl w:val="0"/>
          <w:lang w:val="en-US"/>
        </w:rPr>
        <w:t>$24,000.</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In response to a question about per-student funding, Ms. Lucas explained that the budget is no longer calculated that way. If expressed per student, the approximate amount would be $6,500, but that figure does not determine the budget.</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Athletic classification is reviewed every two years. Battlefield remains Class 6 for 2026</w:t>
      </w:r>
      <w:r>
        <w:rPr>
          <w:rtl w:val="0"/>
        </w:rPr>
        <w:t>–</w:t>
      </w:r>
      <w:r>
        <w:rPr>
          <w:rtl w:val="0"/>
          <w:lang w:val="en-US"/>
        </w:rPr>
        <w:t>27 and is expected to be Class 5 next year. The community may advocate for boundary changes that would zone additional students to Battlefield.</w:t>
      </w:r>
    </w:p>
    <w:p>
      <w:pPr>
        <w:pStyle w:val="Heading 2"/>
      </w:pPr>
      <w:r>
        <w:rPr>
          <w:rtl w:val="0"/>
        </w:rPr>
        <w:t>2025</w:t>
      </w:r>
      <w:r>
        <w:rPr>
          <w:rtl w:val="0"/>
        </w:rPr>
        <w:t>–</w:t>
      </w:r>
      <w:r>
        <w:rPr>
          <w:rtl w:val="0"/>
          <w:lang w:val="de-DE"/>
        </w:rPr>
        <w:t>26 Performance Data</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56"/>
        <w:gridCol w:w="2736"/>
      </w:tblGrid>
      <w:tr>
        <w:tblPrEx>
          <w:shd w:val="clear" w:color="auto" w:fill="4f81bd"/>
        </w:tblPrEx>
        <w:trPr>
          <w:trHeight w:val="275" w:hRule="atLeast"/>
          <w:tblHeader/>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Measure</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Reported result</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On-time graduation rate</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99%</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Federal graduation index</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Approximately 98%</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Reading</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96%</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Writing</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93%</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Mathematics</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87%</w:t>
            </w:r>
          </w:p>
        </w:tc>
      </w:tr>
      <w:tr>
        <w:tblPrEx>
          <w:shd w:val="clear" w:color="auto" w:fill="ced7e7"/>
        </w:tblPrEx>
        <w:trPr>
          <w:trHeight w:val="275" w:hRule="atLeast"/>
        </w:trPr>
        <w:tc>
          <w:tcPr>
            <w:tcW w:type="dxa" w:w="70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Science</w:t>
            </w:r>
          </w:p>
        </w:tc>
        <w:tc>
          <w:tcPr>
            <w:tcW w:type="dxa" w:w="273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89%</w:t>
            </w:r>
          </w:p>
        </w:tc>
      </w:tr>
    </w:tbl>
    <w:p>
      <w:pPr>
        <w:pStyle w:val="Heading 2"/>
        <w:widowControl w:val="0"/>
        <w:spacing w:line="240" w:lineRule="auto"/>
        <w:jc w:val="center"/>
      </w:pP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Student tardiness has decreased so far this year, indicating a positive start.</w:t>
      </w:r>
    </w:p>
    <w:p>
      <w:pPr>
        <w:pStyle w:val="Heading 2"/>
      </w:pPr>
      <w:r>
        <w:rPr>
          <w:rtl w:val="0"/>
          <w:lang w:val="en-US"/>
        </w:rPr>
        <w:t>Continuous Improvement Plan for 2026</w:t>
      </w:r>
      <w:r>
        <w:rPr>
          <w:rtl w:val="0"/>
        </w:rPr>
        <w:t>–</w:t>
      </w:r>
      <w:r>
        <w:rPr>
          <w:rtl w:val="0"/>
        </w:rPr>
        <w:t>27</w:t>
      </w:r>
    </w:p>
    <w:p>
      <w:pPr>
        <w:pStyle w:val="Body"/>
      </w:pPr>
      <w:r>
        <w:rPr>
          <w:rtl w:val="0"/>
          <w:lang w:val="en-US"/>
        </w:rPr>
        <w:t>The plan is based on performance data and identified achievement gaps, particularly for English learner students and students with disabilities.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it-IT"/>
        </w:rPr>
        <w:t xml:space="preserve">CIP Goal 1 </w:t>
      </w:r>
      <w:r>
        <w:rPr>
          <w:rtl w:val="0"/>
          <w:lang w:val="en-US"/>
        </w:rPr>
        <w:t>Learning and Achievement for All</w:t>
      </w:r>
      <w:r>
        <w:rPr>
          <w:rtl w:val="0"/>
          <w:lang w:val="en-US"/>
        </w:rPr>
        <w:t>: Continue focusing on Biology SOL performance. Because the English learner population is small, the school is examining how to maximize instructional opportunities. The Talk Read Talk Write framework will support literacy and classroom discussion. AP results were strong: 1,721 exams were administered, and 81% earned a score of 3 or higher.</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CIP Goal 2 Positive Climate and Culture: Help every student identify a trusted adult at school. Promote CHIP</w:t>
      </w:r>
      <w:r>
        <w:rPr>
          <w:rtl w:val="0"/>
          <w:lang w:val="en-US"/>
        </w:rPr>
        <w:t>—</w:t>
      </w:r>
      <w:r>
        <w:rPr>
          <w:rtl w:val="0"/>
          <w:lang w:val="en-US"/>
        </w:rPr>
        <w:t>Courage, Honesty, Integrity/Impact, and Purpose</w:t>
      </w:r>
      <w:r>
        <w:rPr>
          <w:rtl w:val="0"/>
          <w:lang w:val="en-US"/>
        </w:rPr>
        <w:t>—</w:t>
      </w:r>
      <w:r>
        <w:rPr>
          <w:rtl w:val="0"/>
          <w:lang w:val="en-US"/>
        </w:rPr>
        <w:t>to encourage positive engagement and outcomes. Improve consistency in discipline and referral practices and resolve concerns within classrooms when possible.</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CIP Goal 3 Family and Community Engagement: Increase authentic, two-way communication with families. Approximately 200 parents completed the survey for a school population of about 2,000 students.</w:t>
      </w:r>
    </w:p>
    <w:p>
      <w:pPr>
        <w:pStyle w:val="Heading 2"/>
      </w:pPr>
      <w:r>
        <w:rPr>
          <w:rtl w:val="0"/>
          <w:lang w:val="en-US"/>
        </w:rPr>
        <w:t>Family Engagement Discussion</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A participant asked whether a non</w:t>
      </w:r>
      <w:r>
        <w:rPr>
          <w:rtl w:val="0"/>
          <w:lang w:val="en-US"/>
        </w:rPr>
        <w:t>-</w:t>
      </w:r>
      <w:r>
        <w:rPr>
          <w:rtl w:val="0"/>
          <w:lang w:val="en-US"/>
        </w:rPr>
        <w:t>monetary incentive could increase parent survey participation.</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The school is beginning a monthly family engagement series with both morning and evening sessions. Proposed topics include security and social-emotional learning.</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Parents may be invited to suggest ways to strengthen students' executive functioning, which received the lowest score on the student social-emotional learning survey.</w:t>
      </w:r>
    </w:p>
    <w:p>
      <w:pPr>
        <w:pStyle w:val="Heading"/>
      </w:pPr>
      <w:r>
        <w:rPr>
          <w:rtl w:val="0"/>
          <w:lang w:val="en-US"/>
        </w:rPr>
        <w:t>5 Department and Program Updates</w:t>
      </w:r>
    </w:p>
    <w:p>
      <w:pPr>
        <w:pStyle w:val="Heading 2"/>
      </w:pPr>
      <w:r>
        <w:rPr>
          <w:rtl w:val="0"/>
          <w:lang w:val="en-US"/>
        </w:rPr>
        <w:t>Counseling</w:t>
      </w:r>
    </w:p>
    <w:p>
      <w:pPr>
        <w:pStyle w:val="Body"/>
      </w:pPr>
      <w:r>
        <w:rPr>
          <w:rtl w:val="0"/>
          <w:lang w:val="en-US"/>
        </w:rPr>
        <w:t>The counseling representative was not present.</w:t>
      </w:r>
    </w:p>
    <w:p>
      <w:pPr>
        <w:pStyle w:val="Heading 2"/>
      </w:pPr>
      <w:r>
        <w:rPr>
          <w:rtl w:val="0"/>
          <w:lang w:val="en-US"/>
        </w:rPr>
        <w:t>Activities and Clubs</w:t>
      </w:r>
    </w:p>
    <w:p>
      <w:pPr>
        <w:pStyle w:val="Body"/>
      </w:pPr>
      <w:r>
        <w:rPr>
          <w:rtl w:val="0"/>
          <w:lang w:val="en-US"/>
        </w:rPr>
        <w:t>Doug Burney presented an overview of school-sponsored and non</w:t>
      </w:r>
      <w:r>
        <w:rPr>
          <w:rtl w:val="0"/>
          <w:lang w:val="en-US"/>
        </w:rPr>
        <w:t xml:space="preserve"> </w:t>
      </w:r>
      <w:r>
        <w:rPr>
          <w:rtl w:val="0"/>
          <w:lang w:val="en-US"/>
        </w:rPr>
        <w:t>school-sponsored clubs.</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32"/>
        <w:gridCol w:w="3816"/>
        <w:gridCol w:w="3744"/>
      </w:tblGrid>
      <w:tr>
        <w:tblPrEx>
          <w:shd w:val="clear" w:color="auto" w:fill="4f81bd"/>
        </w:tblPrEx>
        <w:trPr>
          <w:trHeight w:val="275" w:hRule="atLeast"/>
          <w:tblHeader/>
        </w:trPr>
        <w:tc>
          <w:tcPr>
            <w:tcW w:type="dxa" w:w="22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Category</w:t>
            </w:r>
          </w:p>
        </w:tc>
        <w:tc>
          <w:tcPr>
            <w:tcW w:type="dxa" w:w="381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Adult role and operation</w:t>
            </w:r>
          </w:p>
        </w:tc>
        <w:tc>
          <w:tcPr>
            <w:tcW w:type="dxa" w:w="374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Promotion and funding</w:t>
            </w:r>
          </w:p>
        </w:tc>
      </w:tr>
      <w:tr>
        <w:tblPrEx>
          <w:shd w:val="clear" w:color="auto" w:fill="ced7e7"/>
        </w:tblPrEx>
        <w:trPr>
          <w:trHeight w:val="836" w:hRule="atLeast"/>
        </w:trPr>
        <w:tc>
          <w:tcPr>
            <w:tcW w:type="dxa" w:w="22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School-sponsored</w:t>
            </w:r>
          </w:p>
        </w:tc>
        <w:tc>
          <w:tcPr>
            <w:tcW w:type="dxa" w:w="381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Curriculum- or merit-based; adults serve as sponsors; national organizations may require an application process.</w:t>
            </w:r>
          </w:p>
        </w:tc>
        <w:tc>
          <w:tcPr>
            <w:tcW w:type="dxa" w:w="374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May advertise through Canvas, collect dues, fundraise, and in some cases provide a small sponsor stipend.</w:t>
            </w:r>
          </w:p>
        </w:tc>
      </w:tr>
      <w:tr>
        <w:tblPrEx>
          <w:shd w:val="clear" w:color="auto" w:fill="ced7e7"/>
        </w:tblPrEx>
        <w:trPr>
          <w:trHeight w:val="1117" w:hRule="atLeast"/>
        </w:trPr>
        <w:tc>
          <w:tcPr>
            <w:tcW w:type="dxa" w:w="2232"/>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Nonschool-sponsored</w:t>
            </w:r>
          </w:p>
        </w:tc>
        <w:tc>
          <w:tcPr>
            <w:tcW w:type="dxa" w:w="381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Student-created and student-run; a PWCS staff member serves only as liaison by providing access and supervision of the space.</w:t>
            </w:r>
          </w:p>
        </w:tc>
        <w:tc>
          <w:tcPr>
            <w:tcW w:type="dxa" w:w="3744"/>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May use designated bulletin boards and approved classroom flyers; may not fundraise. Liaisons volunteer their time.</w:t>
            </w:r>
          </w:p>
        </w:tc>
      </w:tr>
    </w:tbl>
    <w:p>
      <w:pPr>
        <w:pStyle w:val="Body"/>
        <w:widowControl w:val="0"/>
        <w:spacing w:line="240" w:lineRule="auto"/>
        <w:jc w:val="center"/>
      </w:pP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Parents cannot serve as club liaisons; the liaison must be a PWCS staff member.</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Students currently learn about clubs through bulletin boards, classroom flyers, Instagram, and Canvas, depending on the club type. The school is finalizing a website listing available clubs.</w:t>
      </w:r>
    </w:p>
    <w:p>
      <w:pPr>
        <w:pStyle w:val="Heading 2"/>
      </w:pPr>
      <w:r>
        <w:rPr>
          <w:rtl w:val="0"/>
          <w:lang w:val="en-US"/>
        </w:rPr>
        <w:t>Specialty Program</w:t>
      </w:r>
    </w:p>
    <w:p>
      <w:pPr>
        <w:pStyle w:val="Body"/>
      </w:pPr>
      <w:r>
        <w:rPr>
          <w:rtl w:val="0"/>
          <w:lang w:val="en-US"/>
        </w:rPr>
        <w:t>The specialty program representative, Megan, was not present.</w:t>
      </w:r>
    </w:p>
    <w:p>
      <w:pPr>
        <w:pStyle w:val="Heading"/>
      </w:pPr>
      <w:r>
        <w:rPr>
          <w:rtl w:val="0"/>
          <w:lang w:val="en-US"/>
        </w:rPr>
        <w:t>6 Dress Code Discussion</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The council reviewed Article 6 concerning free expression within the PWCS dress code. Students are encouraged to dress in a way that supports a distraction-free learning environment.</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Ms. Lucas read the applicable section of the PWCS Code of Behavior. The discussion noted that visible undergarments and clothing that disrupts the educational process can present nuanced enforcement questions.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A parent referenced Loudoun County Public Schools' more specific dress code as a possible model. The student representative agreed that clearer language could also help address low-hanging pants.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Ms. Lucas will contact her supervisor to ask whether additional clarity and specificity can be provided in PWCS dress code guidance.</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Participants noted that most dress code concerns reported so far this year have come from parents visiting the school. Staff members observed that students may be unlikely to raise these concerns themselves.</w:t>
      </w:r>
    </w:p>
    <w:p>
      <w:pPr>
        <w:pStyle w:val="Heading"/>
      </w:pPr>
      <w:r>
        <w:rPr>
          <w:rtl w:val="0"/>
          <w:lang w:val="en-US"/>
        </w:rPr>
        <w:t>7 Calendar Update</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 xml:space="preserve">Planning </w:t>
      </w:r>
      <w:r>
        <w:rPr>
          <w:rtl w:val="0"/>
          <w:lang w:val="en-US"/>
        </w:rPr>
        <w:t xml:space="preserve">for </w:t>
      </w:r>
      <w:r>
        <w:rPr>
          <w:rtl w:val="0"/>
          <w:lang w:val="en-US"/>
        </w:rPr>
        <w:t>community feedback for the 2027</w:t>
      </w:r>
      <w:r>
        <w:rPr>
          <w:rtl w:val="0"/>
        </w:rPr>
        <w:t>–</w:t>
      </w:r>
      <w:r>
        <w:rPr>
          <w:rtl w:val="0"/>
          <w:lang w:val="en-US"/>
        </w:rPr>
        <w:t>28 school calendar have begun. Community members are encouraged to share priorities related to instruction, family needs, and religious or cultural observances with school SACI representatives.</w:t>
      </w:r>
    </w:p>
    <w:p>
      <w:pPr>
        <w:pStyle w:val="Body"/>
        <w:tabs>
          <w:tab w:val="left" w:pos="461"/>
        </w:tabs>
        <w:spacing w:after="60" w:line="252" w:lineRule="auto"/>
        <w:ind w:left="461" w:hanging="259"/>
      </w:pPr>
      <w:r>
        <w:rPr>
          <w:rFonts w:ascii="Arial" w:hAnsi="Arial" w:hint="default"/>
          <w:sz w:val="22"/>
          <w:szCs w:val="22"/>
          <w:rtl w:val="0"/>
          <w:lang w:val="en-US"/>
        </w:rPr>
        <w:t>•</w:t>
      </w:r>
      <w:r>
        <w:rPr>
          <w:rFonts w:ascii="Arial" w:cs="Arial" w:hAnsi="Arial" w:eastAsia="Arial"/>
          <w:sz w:val="22"/>
          <w:szCs w:val="22"/>
        </w:rPr>
        <w:tab/>
      </w:r>
      <w:r>
        <w:rPr>
          <w:rtl w:val="0"/>
          <w:lang w:val="en-US"/>
        </w:rPr>
        <w:t>The calendar must include 180 instructional days, as well as teacher workdays, professional development days, and SOL testing</w:t>
      </w:r>
      <w:r>
        <w:rPr>
          <w:rtl w:val="0"/>
          <w:lang w:val="en-US"/>
        </w:rPr>
        <w:t xml:space="preserve"> days</w:t>
      </w:r>
      <w:r>
        <w:rPr>
          <w:rtl w:val="0"/>
          <w:lang w:val="en-US"/>
        </w:rPr>
        <w:t>. Ms. Lucas estimated that approximately eight weather-related closure days may be built into the calendar.</w:t>
      </w:r>
    </w:p>
    <w:p>
      <w:pPr>
        <w:pStyle w:val="Heading"/>
      </w:pPr>
      <w:r>
        <w:rPr>
          <w:rtl w:val="0"/>
          <w:lang w:val="en-US"/>
        </w:rPr>
        <w:t>8 Follow-Up Items</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56"/>
        <w:gridCol w:w="2375"/>
        <w:gridCol w:w="2161"/>
      </w:tblGrid>
      <w:tr>
        <w:tblPrEx>
          <w:shd w:val="clear" w:color="auto" w:fill="4f81bd"/>
        </w:tblPrEx>
        <w:trPr>
          <w:trHeight w:val="275" w:hRule="atLeast"/>
          <w:tblHeader/>
        </w:trPr>
        <w:tc>
          <w:tcPr>
            <w:tcW w:type="dxa" w:w="52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Follow-up</w:t>
            </w:r>
          </w:p>
        </w:tc>
        <w:tc>
          <w:tcPr>
            <w:tcW w:type="dxa" w:w="2375"/>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Lead</w:t>
            </w:r>
          </w:p>
        </w:tc>
        <w:tc>
          <w:tcPr>
            <w:tcW w:type="dxa" w:w="21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Timing</w:t>
            </w:r>
          </w:p>
        </w:tc>
      </w:tr>
      <w:tr>
        <w:tblPrEx>
          <w:shd w:val="clear" w:color="auto" w:fill="ced7e7"/>
        </w:tblPrEx>
        <w:trPr>
          <w:trHeight w:val="556" w:hRule="atLeast"/>
        </w:trPr>
        <w:tc>
          <w:tcPr>
            <w:tcW w:type="dxa" w:w="52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Present the revised 2026</w:t>
            </w:r>
            <w:r>
              <w:rPr>
                <w:shd w:val="nil" w:color="auto" w:fill="auto"/>
                <w:rtl w:val="0"/>
                <w:lang w:val="en-US"/>
              </w:rPr>
              <w:t>–</w:t>
            </w:r>
            <w:r>
              <w:rPr>
                <w:shd w:val="nil" w:color="auto" w:fill="auto"/>
                <w:rtl w:val="0"/>
                <w:lang w:val="en-US"/>
              </w:rPr>
              <w:t>27 budget based on September 30 enrollment.</w:t>
            </w:r>
          </w:p>
        </w:tc>
        <w:tc>
          <w:tcPr>
            <w:tcW w:type="dxa" w:w="2375"/>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Principal</w:t>
            </w:r>
          </w:p>
        </w:tc>
        <w:tc>
          <w:tcPr>
            <w:tcW w:type="dxa" w:w="21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November meeting</w:t>
            </w:r>
          </w:p>
        </w:tc>
      </w:tr>
      <w:tr>
        <w:tblPrEx>
          <w:shd w:val="clear" w:color="auto" w:fill="ced7e7"/>
        </w:tblPrEx>
        <w:trPr>
          <w:trHeight w:val="556" w:hRule="atLeast"/>
        </w:trPr>
        <w:tc>
          <w:tcPr>
            <w:tcW w:type="dxa" w:w="52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Seek clarification from the appropriate supervisor regarding PWCS dress code guidance.</w:t>
            </w:r>
          </w:p>
        </w:tc>
        <w:tc>
          <w:tcPr>
            <w:tcW w:type="dxa" w:w="2375"/>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Ms. Lucas</w:t>
            </w:r>
          </w:p>
        </w:tc>
        <w:tc>
          <w:tcPr>
            <w:tcW w:type="dxa" w:w="21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Not specified</w:t>
            </w:r>
          </w:p>
        </w:tc>
      </w:tr>
      <w:tr>
        <w:tblPrEx>
          <w:shd w:val="clear" w:color="auto" w:fill="ced7e7"/>
        </w:tblPrEx>
        <w:trPr>
          <w:trHeight w:val="556" w:hRule="atLeast"/>
        </w:trPr>
        <w:tc>
          <w:tcPr>
            <w:tcW w:type="dxa" w:w="52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Collect and relay community priorities for the 2027</w:t>
            </w:r>
            <w:r>
              <w:rPr>
                <w:shd w:val="nil" w:color="auto" w:fill="auto"/>
                <w:rtl w:val="0"/>
                <w:lang w:val="en-US"/>
              </w:rPr>
              <w:t>–</w:t>
            </w:r>
            <w:r>
              <w:rPr>
                <w:shd w:val="nil" w:color="auto" w:fill="auto"/>
                <w:rtl w:val="0"/>
                <w:lang w:val="en-US"/>
              </w:rPr>
              <w:t>28 school calendar.</w:t>
            </w:r>
          </w:p>
        </w:tc>
        <w:tc>
          <w:tcPr>
            <w:tcW w:type="dxa" w:w="2375"/>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SACI representatives</w:t>
            </w:r>
          </w:p>
        </w:tc>
        <w:tc>
          <w:tcPr>
            <w:tcW w:type="dxa" w:w="21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pPr>
            <w:r>
              <w:rPr>
                <w:shd w:val="nil" w:color="auto" w:fill="auto"/>
                <w:rtl w:val="0"/>
                <w:lang w:val="en-US"/>
              </w:rPr>
              <w:t>During calendar planning</w:t>
            </w:r>
          </w:p>
        </w:tc>
      </w:tr>
      <w:tr>
        <w:tblPrEx>
          <w:shd w:val="clear" w:color="auto" w:fill="ced7e7"/>
        </w:tblPrEx>
        <w:trPr>
          <w:trHeight w:val="556" w:hRule="atLeast"/>
        </w:trPr>
        <w:tc>
          <w:tcPr>
            <w:tcW w:type="dxa" w:w="52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Continue developing the school website listing available clubs.</w:t>
            </w:r>
          </w:p>
        </w:tc>
        <w:tc>
          <w:tcPr>
            <w:tcW w:type="dxa" w:w="2375"/>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School staff</w:t>
            </w:r>
          </w:p>
        </w:tc>
        <w:tc>
          <w:tcPr>
            <w:tcW w:type="dxa" w:w="216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pPr>
            <w:r>
              <w:rPr>
                <w:shd w:val="nil" w:color="auto" w:fill="auto"/>
                <w:rtl w:val="0"/>
                <w:lang w:val="en-US"/>
              </w:rPr>
              <w:t>In progress</w:t>
            </w:r>
          </w:p>
        </w:tc>
      </w:tr>
    </w:tbl>
    <w:p>
      <w:pPr>
        <w:pStyle w:val="Heading"/>
        <w:widowControl w:val="0"/>
        <w:spacing w:line="240" w:lineRule="auto"/>
        <w:jc w:val="center"/>
      </w:pPr>
    </w:p>
    <w:p>
      <w:pPr>
        <w:pStyle w:val="Heading"/>
      </w:pPr>
      <w:r>
        <w:rPr>
          <w:rtl w:val="0"/>
          <w:lang w:val="en-US"/>
        </w:rPr>
        <w:t>9 Adjournment</w:t>
      </w:r>
    </w:p>
    <w:p>
      <w:pPr>
        <w:pStyle w:val="Body"/>
      </w:pPr>
      <w:r>
        <w:rPr>
          <w:rtl w:val="0"/>
          <w:lang w:val="en-US"/>
        </w:rPr>
        <w:t>The meeting concluded at 7:42 p.m.</w:t>
      </w:r>
    </w:p>
    <w:p>
      <w:pPr>
        <w:pStyle w:val="Heading"/>
        <w:pageBreakBefore w:val="1"/>
      </w:pPr>
      <w:r>
        <w:rPr>
          <w:rtl w:val="0"/>
          <w:lang w:val="en-US"/>
        </w:rPr>
        <w:t>School Advisory Council Meeting Calendar</w:t>
      </w:r>
    </w:p>
    <w:tbl>
      <w:tblPr>
        <w:tblW w:w="979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456"/>
        <w:gridCol w:w="2880"/>
        <w:gridCol w:w="3456"/>
      </w:tblGrid>
      <w:tr>
        <w:tblPrEx>
          <w:shd w:val="clear" w:color="auto" w:fill="4f81bd"/>
        </w:tblPrEx>
        <w:trPr>
          <w:trHeight w:val="275" w:hRule="atLeast"/>
          <w:tblHeader/>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Date</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Time</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1f3a5f"/>
            <w:tcMar>
              <w:top w:type="dxa" w:w="80"/>
              <w:left w:type="dxa" w:w="80"/>
              <w:bottom w:type="dxa" w:w="80"/>
              <w:right w:type="dxa" w:w="80"/>
            </w:tcMar>
            <w:vAlign w:val="top"/>
          </w:tcPr>
          <w:p>
            <w:pPr>
              <w:pStyle w:val="Body"/>
            </w:pPr>
            <w:r>
              <w:rPr>
                <w:rFonts w:ascii="Aptos" w:cs="Aptos" w:hAnsi="Aptos" w:eastAsia="Aptos"/>
                <w:b w:val="1"/>
                <w:bCs w:val="1"/>
                <w:outline w:val="0"/>
                <w:color w:val="ffffff"/>
                <w:u w:color="ffffff"/>
                <w:shd w:val="nil" w:color="auto" w:fill="auto"/>
                <w:rtl w:val="0"/>
                <w:lang w:val="en-US"/>
                <w14:textFill>
                  <w14:solidFill>
                    <w14:srgbClr w14:val="FFFFFF"/>
                  </w14:solidFill>
                </w14:textFill>
              </w:rPr>
              <w:t>Location</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September 15, 2026</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BFHS Library</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November 17, 2026</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BFHS Library</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January 19, 2027</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BFHS Library</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March 16, 2027</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BFHS Library</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April 20, 2027</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auto"/>
            <w:tcMar>
              <w:top w:type="dxa" w:w="80"/>
              <w:left w:type="dxa" w:w="80"/>
              <w:bottom w:type="dxa" w:w="80"/>
              <w:right w:type="dxa" w:w="80"/>
            </w:tcMar>
            <w:vAlign w:val="center"/>
          </w:tcPr>
          <w:p>
            <w:pPr>
              <w:pStyle w:val="Body"/>
              <w:jc w:val="center"/>
            </w:pPr>
            <w:r>
              <w:rPr>
                <w:shd w:val="nil" w:color="auto" w:fill="auto"/>
                <w:rtl w:val="0"/>
                <w:lang w:val="en-US"/>
              </w:rPr>
              <w:t>BFHS Library</w:t>
            </w:r>
          </w:p>
        </w:tc>
      </w:tr>
      <w:tr>
        <w:tblPrEx>
          <w:shd w:val="clear" w:color="auto" w:fill="ced7e7"/>
        </w:tblPrEx>
        <w:trPr>
          <w:trHeight w:val="275" w:hRule="atLeast"/>
        </w:trPr>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May 18, 2027</w:t>
            </w:r>
          </w:p>
        </w:tc>
        <w:tc>
          <w:tcPr>
            <w:tcW w:type="dxa" w:w="2880"/>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6:30 p.m.</w:t>
            </w:r>
          </w:p>
        </w:tc>
        <w:tc>
          <w:tcPr>
            <w:tcW w:type="dxa" w:w="3456"/>
            <w:tcBorders>
              <w:top w:val="single" w:color="d9d9d9" w:sz="6" w:space="0" w:shadow="0" w:frame="0"/>
              <w:left w:val="single" w:color="d9d9d9" w:sz="6" w:space="0" w:shadow="0" w:frame="0"/>
              <w:bottom w:val="single" w:color="d9d9d9" w:sz="6" w:space="0" w:shadow="0" w:frame="0"/>
              <w:right w:val="single" w:color="d9d9d9" w:sz="6" w:space="0" w:shadow="0" w:frame="0"/>
            </w:tcBorders>
            <w:shd w:val="clear" w:color="auto" w:fill="f7f9fb"/>
            <w:tcMar>
              <w:top w:type="dxa" w:w="80"/>
              <w:left w:type="dxa" w:w="80"/>
              <w:bottom w:type="dxa" w:w="80"/>
              <w:right w:type="dxa" w:w="80"/>
            </w:tcMar>
            <w:vAlign w:val="center"/>
          </w:tcPr>
          <w:p>
            <w:pPr>
              <w:pStyle w:val="Body"/>
              <w:jc w:val="center"/>
            </w:pPr>
            <w:r>
              <w:rPr>
                <w:shd w:val="nil" w:color="auto" w:fill="auto"/>
                <w:rtl w:val="0"/>
                <w:lang w:val="en-US"/>
              </w:rPr>
              <w:t>BFHS Library</w:t>
            </w:r>
          </w:p>
        </w:tc>
      </w:tr>
    </w:tbl>
    <w:p>
      <w:pPr>
        <w:pStyle w:val="Heading"/>
        <w:pageBreakBefore w:val="1"/>
        <w:widowControl w:val="0"/>
        <w:spacing w:line="240" w:lineRule="auto"/>
        <w:jc w:val="center"/>
      </w:pPr>
    </w:p>
    <w:p>
      <w:pPr>
        <w:pStyle w:val="Body"/>
        <w:jc w:val="center"/>
      </w:pPr>
      <w:r>
        <w:rPr>
          <w:rFonts w:ascii="Aptos" w:cs="Aptos" w:hAnsi="Aptos" w:eastAsia="Aptos"/>
          <w:i w:val="1"/>
          <w:iCs w:val="1"/>
          <w:sz w:val="18"/>
          <w:szCs w:val="18"/>
          <w:rtl w:val="0"/>
          <w:lang w:val="en-US"/>
        </w:rPr>
        <w:t>Agenda, meeting date, and time are subject to change.</w:t>
      </w:r>
    </w:p>
    <w:sectPr>
      <w:headerReference w:type="default" r:id="rId4"/>
      <w:footerReference w:type="default" r:id="rId5"/>
      <w:pgSz w:w="12240" w:h="15840" w:orient="portrait"/>
      <w:pgMar w:top="936" w:right="1123" w:bottom="1152" w:left="1123"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ptos Display">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outline w:val="0"/>
        <w:color w:val="5a5a5a"/>
        <w:sz w:val="16"/>
        <w:szCs w:val="16"/>
        <w:u w:color="5a5a5a"/>
        <w:rtl w:val="0"/>
        <w:lang w:val="en-US"/>
        <w14:textFill>
          <w14:solidFill>
            <w14:srgbClr w14:val="5A5A5A"/>
          </w14:solidFill>
        </w14:textFill>
      </w:rPr>
      <w:t>Battlefield High School  |  School Advisory Council</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202020"/>
      <w:spacing w:val="0"/>
      <w:kern w:val="0"/>
      <w:position w:val="0"/>
      <w:sz w:val="21"/>
      <w:szCs w:val="21"/>
      <w:u w:val="none" w:color="202020"/>
      <w:shd w:val="nil" w:color="auto" w:fill="auto"/>
      <w:vertAlign w:val="baseline"/>
      <w:lang w:val="en-US"/>
      <w14:textFill>
        <w14:solidFill>
          <w14:srgbClr w14:val="20202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40" w:line="240" w:lineRule="auto"/>
      <w:ind w:left="0" w:right="0" w:firstLine="0"/>
      <w:jc w:val="left"/>
      <w:outlineLvl w:val="9"/>
    </w:pPr>
    <w:rPr>
      <w:rFonts w:ascii="Aptos Display" w:cs="Aptos Display" w:hAnsi="Aptos Display" w:eastAsia="Aptos Display"/>
      <w:b w:val="1"/>
      <w:bCs w:val="1"/>
      <w:i w:val="0"/>
      <w:iCs w:val="0"/>
      <w:caps w:val="0"/>
      <w:smallCaps w:val="0"/>
      <w:strike w:val="0"/>
      <w:dstrike w:val="0"/>
      <w:outline w:val="0"/>
      <w:color w:val="000000"/>
      <w:spacing w:val="5"/>
      <w:kern w:val="28"/>
      <w:position w:val="0"/>
      <w:sz w:val="44"/>
      <w:szCs w:val="44"/>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202020"/>
      <w:spacing w:val="0"/>
      <w:kern w:val="0"/>
      <w:position w:val="0"/>
      <w:sz w:val="21"/>
      <w:szCs w:val="21"/>
      <w:u w:val="none" w:color="202020"/>
      <w:shd w:val="nil" w:color="auto" w:fill="auto"/>
      <w:vertAlign w:val="baseline"/>
      <w:lang w:val="en-US"/>
      <w14:textOutline>
        <w14:noFill/>
      </w14:textOutline>
      <w14:textFill>
        <w14:solidFill>
          <w14:srgbClr w14:val="20202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240" w:after="100" w:line="259" w:lineRule="auto"/>
      <w:ind w:left="0" w:right="0" w:firstLine="0"/>
      <w:jc w:val="left"/>
      <w:outlineLvl w:val="0"/>
    </w:pPr>
    <w:rPr>
      <w:rFonts w:ascii="Aptos Display" w:cs="Aptos Display" w:hAnsi="Aptos Display" w:eastAsia="Aptos Display"/>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160" w:after="60" w:line="259" w:lineRule="auto"/>
      <w:ind w:left="0" w:right="0" w:firstLine="0"/>
      <w:jc w:val="left"/>
      <w:outlineLvl w:val="1"/>
    </w:pPr>
    <w:rPr>
      <w:rFonts w:ascii="Aptos Display" w:cs="Aptos Display" w:hAnsi="Aptos Display" w:eastAsia="Aptos Display"/>
      <w:b w:val="1"/>
      <w:bCs w:val="1"/>
      <w:i w:val="0"/>
      <w:iCs w:val="0"/>
      <w:caps w:val="0"/>
      <w:smallCaps w:val="0"/>
      <w:strike w:val="0"/>
      <w:dstrike w:val="0"/>
      <w:outline w:val="0"/>
      <w:color w:val="000000"/>
      <w:spacing w:val="0"/>
      <w:kern w:val="0"/>
      <w:position w:val="0"/>
      <w:sz w:val="23"/>
      <w:szCs w:val="23"/>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ptos Display"/>
        <a:ea typeface="Aptos Display"/>
        <a:cs typeface="Aptos Display"/>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